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171</w:t>
      </w:r>
    </w:p>
    <w:p>
      <w:r>
        <w:t>Bundesgericht (BGE), 1993-08-25, FR</w:t>
      </w:r>
    </w:p>
    <w:p>
      <w:r>
        <w:rPr>
          <w:b/>
        </w:rPr>
        <w:t xml:space="preserve">Quelle: </w:t>
      </w:r>
      <w:r>
        <w:t>https://mcp.opencaselaw.ch/entscheid/bge_119 V 171</w:t>
      </w:r>
    </w:p>
    <w:p>
      <w:r>
        <w:t>FR: ATF 119 V 171</w:t>
      </w:r>
    </w:p>
    <w:p>
      <w:r>
        <w:t>IT: DTF 119 V 171</w:t>
      </w:r>
    </w:p>
    <w:p>
      <w:pPr>
        <w:pStyle w:val="Heading2"/>
      </w:pPr>
      <w:r>
        <w:t>Regeste</w:t>
      </w:r>
    </w:p>
    <w:p>
      <w:r>
        <w:t>Regeste Art. 7 Abs. 1 IVG, Art. 32 Abs. 1 lit. e des Übereinkommens Nr. 128 der Internationalen Arbeitsorganisation (IAO) und Art. 68 lit. f der Europäischen Ordnung der Sozialen Sicherheit (EOSS): Leistungskürzung infolge Grobfahrlässigkeit. Die Kürzungsregeln der beiden Abkommen sind direkt anwendbar und setzen sich auch bei Anwendung von Art. 7 Abs. 1 IVG durch. Folglich sind die bisherigen Leistungskürzungen bei Grobfahrlässigkeit durch den Versicherten nicht mehr möglich (Änderung der Rechtsprechung).</w:t>
      </w:r>
    </w:p>
    <w:p>
      <w:pPr>
        <w:pStyle w:val="Heading2"/>
      </w:pPr>
      <w:r>
        <w:t>Erwägungen</w:t>
      </w:r>
    </w:p>
    <w:p>
      <w:r>
        <w:rPr>
          <w:b/>
        </w:rPr>
        <w:t>E. 1</w:t>
      </w:r>
    </w:p>
    <w:p>
      <w:r>
        <w:t>Selon l' art. 33 LAI , ont droit à la rente d'invalidité pour couple entière, notamment, les hommes invalides mariés dont l'épouse a 62 ans révolus. En d'autres termes, lorsque cette dernière condition est remplie, il suffit que le mari puisse prétendre une rente d'invalidité - peu importe qu'il s'agisse d'un quart de rente, d'une demi-rente ou d'une rente entière ( art. 28 al. 1 LAI ) - pour avoir droit à une rente pour couple entière (cf. aussi le tableau 2 annexé au message du Conseil fédéral concernant la deuxième révision de l'AI, du 21 novembre 1984, FF 1985 I 86 ou RCC 1985 p. 10). Par conséquent, contrairement à ce qu'il semble avoir cru lorsqu'il chargea son médecin traitant d'entreprendre des démarches en vue d'obtenir une rente "complète", le recourant ne pouvait toucher plus que la rente de couple entière qu'il recevait déjà depuis le 1er mars 1988, même si, par hypothèse, le degré de son invalidité avait augmenté. C'est pourquoi, si la commission de l'assurance-invalidité s'était bornée à se prononcer sur le taux d'invalidité de l'assuré, sans remettre en cause le droit de ce dernier à une rente d'invalidité, la juridiction cantonale aurait dû refuser d'entrer en matière sur un recours de l'assuré contre la décision ultérieure de la caisse de compensation, faute d'intérêt digne de protection du recourant ( ATF 115 V 418 consid. 3b/aa, ATF 106 V 92 consid. 1). Toutefois, dans le cas particulier, la commission de l'assurance-invalidité n'a pas seulement fixé l'invalidité à un degré plus élevé (74 pour cent au lieu de 50 pour cent) - ce qui en soi, on vient de le voir, n'a aucune incidence sur la quotité de la rente - mais elle a aussi réduit de 35 pour cent le droit propre du recourant sur la moitié de la rente de couple qui lui est allouée (v. sur ce dernier point ATFA 1962 p. 106 consid. 4a; RCC 1990 pp. 309 ss consid. 4b). Ce dernier a, dès lors, un intérêt digne de protection à recourir.</w:t>
      </w:r>
    </w:p>
    <w:p>
      <w:r>
        <w:rPr>
          <w:b/>
        </w:rPr>
        <w:t>E. 2</w:t>
      </w:r>
    </w:p>
    <w:p>
      <w:r>
        <w:t>a) Selon l' art. 7 al. 1 LAI , les prestations en espèces peuvent être refusées, réduites ou retirées, temporairement ou définitivement, à l'assuré qui a intentionnellement ou par faute grave, ou en commettant un crime ou un délit, causé ou aggravé son invalidité. BGE 119 V 171 S. 174 Par cette disposition, l'on vise à empêcher que l'assurance-invalidité ne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111 V 187 consid. 2a; RCC 1990 p. 308 consid. 2a). b) Dans les cas d'abus d'alcool, il y a faute grave lorsque l'assuré était en mesure de comprendre à temps, en disposant d'une instruction moyenne et en faisant preuve de la prudence qu'on pouvait attendre de lui, que l'abus de boissons alcooliques des années durant risquait de porter une atteinte grave à sa santé, et qu'il aurait été capable de s'abstenir, en conséquence, de tels abus ( ATF 111 V 189 consid. 2c; RCC 1990 p. 308 consid. 2b). Le fait de causer ou d'aggraver son invalidité par sa propre faute n'entraîne pas, en principe, la suppression totale des prestations en espèces, mais seulement une réduction appropriée de celles-ci. Le taux de réduction est déterminé uniquement d'après la faute commise par l'assuré ( ATF 111 V 196 consid. 5a, ATF 104 V 2 consid. 2b, ATF 97 V 229 consid. 1b; voir aussi ATF 106 V 23 consid. 1a et les arrêts cités). En pratique, on considère comme justifiée une réduction de 50 pour cent au plus lorsque l'invalidité a été causée uniquement par l'alcoolisme et que l'assuré en est entièrement responsable. Si ce dernier présente encore une autre atteinte à la santé qui a contribué à provoquer l'invalidité, il faut examiner les relations des divers facteurs ayant entraîné celle-ci; on tiendra alors compte de l'alcoolisme, en tant que facteur de causalité, pour fixer la quotité de la réduction ( ATF 111 V 196 consid. 5a; RCC 1990 p. 308 consid. 2b; ECHENARD, Les risques exclus de l'AVS/AI, in: IRAL, Colloque de Lausanne 1989, Risques totalement ou partiellement exclus de l'assurance sociale [y compris la prévoyance professionnelle], p. 11).</w:t>
      </w:r>
    </w:p>
    <w:p>
      <w:r>
        <w:rPr>
          <w:b/>
        </w:rPr>
        <w:t>E. 3</w:t>
      </w:r>
    </w:p>
    <w:p>
      <w:r>
        <w:t>a) 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d'assurances sociales auxquelles une personne aurait droit peuvent être "suspendues", c'est-à-dire refusées, réduites ou retirées, lorsque l'éventualité a été provoquée "par une faute grave et intentionnelle", BGE 119 V 171 S. 175 selon la Convention no 128, ou "par une faute intentionnelle de l'intéressé", selon le CESS. Ces normes internationales visent notamment les prestations d'assurance selon la LAI (partie II de la Convention OIT no 128 et partie IX CESS; cf. RAMA 1989 no U 63 p. 56, consid. 4c non publié dans ATF 114 V 315 ). b) Dans l'arrêt Courtet du 23 octobre 1985 ( ATF 111 V 201 ), le Tribunal fédéral des assurances a jugé, contre l'avis de la doctrine dominante (VILLARS, Le Code européen de sécurité sociale et le Protocole additionnel, 1979, p. 16; BERENSTEIN, La Suisse et le développement international de la sécurité sociale, SZS 1981 p. 186; GREBER, Droit suisse de la sécurité sociale, 1982, p. 228), que ces dispositions conventionnelles ne sont pas directement applicables ("self-executing"); elles ne font donc pas obstacle à une réduction d'une rente d'invalidité en raison d'une faute grave non intentionnelle commise par l'assuré. Le recourant, ainsi qu'il l'avait déjà fait en première instance, conteste le bien-fondé de cette jurisprudence. Il fait valoir qu'elle a été condamnée par la doctrine unanime, ce qui lui paraît une raison suffisante pour l'abandonner. c) L'arrêt Courtet a suscité, en effet, de nombreux commentaires et critiques en doctrine. Le premier auteur à s'être exprimé à son sujet semble avoir été le professeur MAURER. Dans un article paru dans la Neue Zürcher Zeitung le 2 juillet 1986, l'auteur - qui avait déjà antérieurement exprimé des réserves au sujet de la jurisprudence en matière de réduction des rentes d'invalidité pour faute grave, notamment dans les cas d'alcoolisme (Fragwürdige Kürzungen der Invalidenrenten wegen grober Fahrlässigkeit, SZS 1984 pp. 65 ss, spéc. p. 87) - préconise des directives de l'autorité fédérale de surveillance afin, écrit-il, d'éviter à la Suisse de violer plus longtemps ses engagements internationaux (voir aussi, du même auteur, Schweizerisches Unfallversicherungsrecht, Ergänzungsband, p. 65 et Bundessozialversicherungsrecht, 1993, p. 21; le commentaire précité dans la NZZ est assez longuement évoqué par FISCHLI dans sa chronique annuelle de jurisprudence, in: RJB 123 [1987] pp. 576 ss). Un autre commentaire consacré à cet arrêt s'inquiète aussi du refus par le Tribunal fédéral des assurances d'appliquer les normes de droit international, qui, de l'avis de son auteur, rend illusoires les engagements pris par la Suisse en ce domaine (DESPLAND, Droit des assurances sociales et conventions internationales: A propos d'un arrêt BGE 119 V 171 S. 176 du Tribunal fédéral des assurances, Journal de la Fédération suisse des employés d'assurances sociales [FEAS] no 3/1986 pp. 4 ss). Dans un article intitulé "L'applicabilité directe des traités internationaux en Suisse: histoire d'un détour inutile" (ASDI, vol. XLV [1989] pp. 129 ss), JACOT-GUILLARMOD, après avoir résumé l'argumentation du Tribunal fédéral des assurances, qualifie celle-ci d'"inquiétante", parce "qu'elle s'écarte délibérément d'un texte clair au profit de considérations politico-juridiques"; à cet égard, il estime que le tribunal a accordé trop de poids au préavis de l'OFAS "qui était, en l'espèce, juge et partie, puisqu'il avait participé aux négociations" (loc.cit., p. 139). Dans une autre étude (Strasbourg, Luxembourg, Lausanne et Lucerne: méthodes d'interprétation comparées de la règle internationale conventionnelle, in: Les règles d'interprétation. Principes communément admis par les juridictions, Fribourg 1989, pp. 109 ss), ce même auteur reproche à nouveau au tribunal, à la lumière cette fois des principes d'interprétation consacrés par la Convention de Vienne, d'avoir donné la préférence à la règle de droit interne, quand bien même la règle internationale remplissait en l'occurrence toutes les conditions de l'applicabilité directe (loc.cit., pp. 112 ss). Plusieurs autres auteurs se sont exprimés dans un sens analogue ou se sont joints à ces critiques (SPIRA, L'application du droit international de la sécurité sociale par le juge, in: Mélanges Berenstein, Lausanne 1989, pp. 475 ss; GREBER, Le principe de la légalité considéré en droit suisse de la sécurité sociale, in: Le droit des assurances sociales en mutation, Mélanges pour le 75e anniversaire du TFA, pp. 273 ss, à partir du no 53; BERENSTEIN, Le droit international de la sécurité sociale dans la jurisprudence du Tribunal fédéral des assurances, étude également publiée dans les Mélanges pour le 75e anniversaire du TFA, pp. 13 ss; MEYER-BLASER, Die Bedeutung von Art. 4 BV für das Sozialversicherungsrecht, RDS 1992 [111] II 446; CATTANEO, Les mesures préventives et de réadaptation de l'assurance-chômage, thèse Genève, 1992, pp. 143 s.; DUC, Droit social européen. Quelques aspects, in: L'espace social européen. Colloque de Lausanne 1992, IRAL, 1993, p. 24; AGIER, La réduction des rentes d'invalidité ... des toxicomanes, SZS 1988 pp. 122 ss; voir aussi les remarques de SCARTAZZINI, in: Les rapports de causalité dans le droit suisse de la sécurité sociale, thèse Genève, 1991, p. 252 s.).</w:t>
      </w:r>
    </w:p>
    <w:p>
      <w:r>
        <w:rPr>
          <w:b/>
        </w:rPr>
        <w:t>E. 4</w:t>
      </w:r>
    </w:p>
    <w:p>
      <w:r>
        <w:t>a) L'arrêt Courtet ne met pas en cause la jurisprudence constante du Tribunal fédéral des assurances qui donne au droit international conventionnel de la sécurité sociale la primauté sur le droit BGE 119 V 171 S. 177 national (consid. 2b, p. 202; voir également, dans la jurisprudence récente: ATF 118 V 79 , ATF 117 V 268 , ATF 115 V 16 ; dans le même sens: J.-F. AUBERT, Un droit social encadré, RDS 1991 [110] I 162 no 18; GREBER, Sécurité sociale, in: Le droit suisse et le droit communautaire: convergences et divergences, Zurich 1990, pp. 630 ss). Au demeurant, sur un plan plus général, le principe de la primauté du droit international n'est plus guère contesté aujourd'hui, en particulier s'agissant de l'application des art. 113 al. 3 et 114bis al. 3 Cst. ( ATF 118 Ib 281 consid. 3b, ATF 117 Ib 372 consid. 2e et les références; Publication commune de l'Office fédéral de la justice et de la Direction du droit international public, du 26 avril 1989, intitulée "Rapports entre le droit international et le droit interne au sein de l'ordre juridique suisse", JAAC 53/IV [1989] no 54 p. 460 ad § 13b; KRAFT, Quelques observations sur l'attitude de la Suisse à l'égard du droit international, in: Mélanges Grossen, pp. 429 ss, spéc. p. 433; voir également les art. 26 et 27 de la Convention de Vienne sur le droit des traités, du 23 mai 1969, entrée en vigueur pour la Suisse le 6 juin 1990 [RS 0.111; RO 1990 1112]; contra, mais très minoritaire: SEILER, Das völkerrechtswidrige Bundesgesetz; Artikel 113 Absatz 3 BV im Verhältnis zu Völkerrecht, EG und EWR, RSJ 1992, pp. 377 ss). Certains auteurs ont d'autre part vu dans l'arrêt Courtet une confirmation de l'arrêt Schubert ( ATF 99 Ib 39 plus spéc. p. 44 consid. 4), selon lequel une exception à la prééminence du droit international doit être admise lorsque le législateur, en toute connaissance de cause, a voulu s'écarter de la norme internationale en édictant une norme qui la viole (exception rappelée récemment dans l'arrêt ATF 118 Ib 281 consid. 3b). Mais l'opinion de ces auteurs (par ex.: CAFLISCH, ASDI 1986 p. 43; ZIMMERMANN, Le contrôle préjudiciel en droit fédéral et dans les cantons suisses, thèse Genève, 1987, p. 102) n'est pas justifiée, le tribunal ayant expressément admis (p. 204) qu'en l'occurrence - et contrairement à la situation examinée dans l'arrêt Schubert - on ne pouvait déduire des travaux préparatoires une volonté délibérée du législateur d'accorder la préférence au droit national en dépit des engagements internationaux de la Suisse. b) Cela étant, pour autant qu'elles apparaissent directement applicables, les règles conventionnelles sont susceptibles d'imposer des obligations et de conférer des droits non seulement aux autorités, mais également aux particuliers. Cela implique qu'elles soient suffisamment précises et claires pour constituer le fondement d'une décision concrète. Inversement, l'applicabilité directe doit être BGE 119 V 171 S. 178 déniée aux normes qui se bornent à esquisser la réglementation d'une matière ou aménagent un pouvoir d'appréciation considérable; de telles normes s'adressent en priorité au législateur national ( ATF 118 Ia 117 , ATF 116 Ib 303 , ATF 112 Ib 184 et la doctrine citée; KÄLIN, Das Verfahren der staatsrechtlichen Beschwerde, pp. 119 sv.; JACOT-GUILLARMOD, L'applicabilité directe ..., pp. 132 ss; DUPUY, Droit international public, Précis Dalloz, Paris 1992, pp. 297 ss). En l'espèce, la Convention OIT no 128 et le CESS contiennent tout à la fois des dispositions qui fixent des lignes directrices en matière de sécurité sociale et des règles à caractère "self-executing" (Berenstein, Le droit international de la sécurité sociale ..., p. 17). Presque tous les auteurs suisses qui se sont exprimés à ce sujet - en particulier ceux qui ont commenté l'arrêt Courtet - soutiennent que parmi cette seconde catégorie de dispositions figurent les art. 32 § 1 let . e de la Convention OIT no 128 et 68 let. f CESS (par exemple: BERENSTEIN, ibidem; GREBER, Le principe de la légalité ..., p. 274, no 55; SPIRA, loc.cit., p. 475). Leur opinion emporte la conviction: selon les règles conventionnelles, une faute grave non intentionnelle ne permet pas la "suspension" (et donc, en particulier, une réduction) des prestations d'assurance. Ces règles n'exigent pas l'adoption par le législateur national de normes plus précises d'exécution; elles peuvent au contraire s'appliquer comme telles et constituer le fondement d'une décision concrète. En conséquence, la jurisprudence critiquée ne peut pas être maintenue. Les normes de droit international sont en l'occurrence directement applicables. Elles l'emportent sur l' art. 7 al. 1 LAI , dans la mesure où cette norme du droit fédéral permet, notamment, la réduction de prestations pour une faute grave commise par négligence. c) Au demeurant, dans l'arrêt Courtet, le tribunal n'a pas considéré que lesdites normes conventionnelles étaient imprécises ou peu claires. Il a tiré argument, pour l'essentiel, du fait que le législateur fédéral - non qu'il eût sciemment refusé de respecter les obligations internationales de la Suisse (cf. supra let. a) - avait maintenu, dans la nouvelle LAA, le principe d'une réduction des prestations (en espèces seulement) en cas d'accident provoqué par une négligence grave ( art. 37 al. 2 LAA ) et que, par ailleurs, il n'avait pas prévu de modifier l' art. 7 al. 1 LAI à l'occasion de la deuxième révision de l'AI alors en cours (les dispositions de la loi révisée sont entrées en vigueur, pour la plupart d'entre elles, le 1er janvier 1988); le tribunal a accordé aussi un poids tout particulier au fait que la BGE 119 V 171 S. 179 réduction pour faute grave non intentionnelle était un principe profondément ancré dans le droit fédéral des assurances sociales. Mais cette motivation a perdu de sa justification. Le projet de loi sur la partie générale du droit des assurances sociales, adopté par le Conseil des Etats au cours de sa session d'automne 1991 (BO 1991 CdE II 773 ss), prévoit de limiter le refus ou la réduction des prestations aux cas où la réalisation du risque est provoquée intentionnellement ou par un comportement délictueux (art. 27; FF 1991 II 188), pour tenir compte, justement, des règles du droit conventionnel (FF 1991 II 250). Pour la même raison, la nouvelle loi sur l'assurance militaire du 19 juin 1992 (FF 1992 III 880 ss), qui entrera prochainement en vigueur, contient une semblable limitation à son art. 65 (voir le message du Conseil fédéral, FF 1990 III 236 s.). d) Quant aux conséquences du présent changement de jurisprudence dans d'autres régimes d'assurance sociale, elles n'ont pas à être examinées ici. Il convient, bien plutôt, d'en réserver l'examen de cas en cas. Pour le moment, l'on se contentera de rappeler, en ce qui concerne l'assurance-accidents, que cette nouvelle jurisprudence ne fait pas obstacle à une réduction des prestations pour négligence grave en cas d'accident non professionnel. En effet, les normes de droit international applicables en matière d'assurance-accidents visent uniquement les accidents du travail et ne s'appliquent donc pas aux accidents non professionnels (art. 31 de la convention OIT no 102 et art. 31 CESS ; ATF 118 V 309 consid. 4).</w:t>
      </w:r>
    </w:p>
    <w:p>
      <w:r>
        <w:rPr>
          <w:b/>
        </w:rPr>
        <w:t>E. 5</w:t>
      </w:r>
    </w:p>
    <w:p>
      <w:r>
        <w:t>Admettant, sur le vu de la restriction apportée par les deux règles du droit international à considérer, que seule une faute grave et intentionnelle permet de réduire la part de la rente de couple revenant au recourant, en application de l' art. 7 al. 1 LAI , il convient de se demander maintenant si cette double condition est remplie dans le cas particulier. L'évolution qui a conduit le recourant à devenir un alcoolique chronique est retracée dans un rapport d'expertise du professeur A., du 2 décembre 1991. Il s'agit d'un cas classique de ce que l'expert lui-même qualifie d'"alcoolisme professionnel" chez un cafetier qui a débuté dans cette activité professionnelle en 1970 et a dû changer d'occupation lucrative à partir de 1980. Aucun élément du dossier ne permet de conclure à l'existence, chez le recourant, d'une volonté délibérée et consciente (SCHAER, Das Verschulden als Zurechnungskriterium, in: SCHAER/DUC/KELLER, La faute au fil de l'évolution du droit de l'assurance privée, sociale et de la responsabilité civile, Bâle 1992, pp. 23 ss) de s'adonner à l'alcool dans une mesure BGE 119 V 171 S. 180 propre à provoquer un état maladif d'une telle gravité. On peut d'ailleurs se demander si, dans les cas d'alcoolisme ou de tabagisme chronique, il est possible de réaliser l'état de fait de la faute intentionnelle. Jusqu'à présent en tout cas, la jurisprudence a toujours considéré les cas de réduction des prestations pour abus d'alcool ou de nicotine sous l'angle, uniquement, de la négligence grave (voir par ex. ATF 111 V 189 consid. 2c, ATF 104 V 1 consid. 2a, 98 V 31 consid. 1, ATF 97 V 229 consid. 1b; cf. aussi MAURER, Fragwürdige Kürzungen ..., pp. 74 ss, ainsi que SCHÖN, Juristische Aspekte der Kürzung von Krankenkassenleistungen bei Grobfahrlässigkeit, Zeitschrift für öffentliche Fürsorge 1990 pp. 173 ss). Quoi qu'il en soit, s'il faut admettre que le comportement du recourant, considéré dans son ensemble, procède d'une faute grave, en raison de la durée de la consommation abusive d'alcool et de l'échec - attesté par le dossier - de tous les traitements de désintoxication, en revanche, cette faute ne peut être considérée comme intentionnelle, même par dol éventuel. Au reste, il est certain, sur le vu du dossier, que l'état psychique du recourant s'est fortement dégradé au cours des dernières années et qu'il n'était, très probablement, plus capable de discernement, en ce qui concerne ses habitudes alcooliques, lors des récidives les plus récentes.</w:t>
      </w:r>
    </w:p>
    <w:p>
      <w:r>
        <w:rPr>
          <w:b/>
        </w:rPr>
        <w:t>E. 6</w:t>
      </w:r>
    </w:p>
    <w:p>
      <w:r>
        <w:t>En conclusion, il n'y a pas lieu de réduire la moitié de la rente de couple allouée au recourant. Il convient, par conséquent, d'annuler le jugement attaqué et de réformer la décision administrative litigieuse en ce sens que X a droit à la moitié d'une rente de couple non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